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5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Опросный лист для заказа конденсаторов</w:t>
      </w:r>
      <w:r w:rsidR="00E75CA2" w:rsidRPr="00E75CA2">
        <w:rPr>
          <w:rFonts w:ascii="Arial" w:hAnsi="Arial" w:cs="Arial"/>
          <w:b/>
          <w:sz w:val="28"/>
          <w:szCs w:val="28"/>
        </w:rPr>
        <w:t xml:space="preserve"> </w:t>
      </w:r>
      <w:r w:rsidR="009B3312">
        <w:rPr>
          <w:rFonts w:ascii="Arial" w:hAnsi="Arial" w:cs="Arial"/>
          <w:b/>
          <w:sz w:val="28"/>
          <w:szCs w:val="28"/>
        </w:rPr>
        <w:t>типа ДМР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817"/>
        <w:gridCol w:w="4820"/>
        <w:gridCol w:w="2374"/>
        <w:gridCol w:w="2671"/>
      </w:tblGrid>
      <w:tr w:rsidR="00E75CA2" w:rsidRPr="00E75CA2" w:rsidTr="009B3312">
        <w:tc>
          <w:tcPr>
            <w:tcW w:w="817" w:type="dxa"/>
            <w:vAlign w:val="center"/>
          </w:tcPr>
          <w:p w:rsidR="00E75CA2" w:rsidRPr="00E75CA2" w:rsidRDefault="00E75CA2" w:rsidP="00E75C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line="324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Технические характеристики (наименование параметра)</w:t>
            </w:r>
          </w:p>
        </w:tc>
        <w:tc>
          <w:tcPr>
            <w:tcW w:w="2374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Требуемое</w:t>
            </w:r>
          </w:p>
          <w:p w:rsidR="00E75CA2" w:rsidRPr="00E75CA2" w:rsidRDefault="00E75CA2" w:rsidP="00E75CA2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2671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Предлагаемое</w:t>
            </w:r>
          </w:p>
          <w:p w:rsidR="00E75CA2" w:rsidRPr="00E75CA2" w:rsidRDefault="00E75CA2" w:rsidP="00E75CA2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</w:tr>
      <w:tr w:rsidR="009B3312" w:rsidRPr="00E75CA2" w:rsidTr="009B3312">
        <w:tc>
          <w:tcPr>
            <w:tcW w:w="817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4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Arial12pt0pt"/>
                <w:sz w:val="22"/>
                <w:szCs w:val="22"/>
              </w:rPr>
              <w:t>1</w:t>
            </w:r>
            <w:r w:rsidRPr="009B3312">
              <w:rPr>
                <w:rStyle w:val="2Arial12pt0pt0"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Изготовитель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Заводской тип (марка)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Напряжение, действующее значение, кВ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Номинальная емкость, нФ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5.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Предельное отклонение значения емкости, %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6.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Номинальная частота, </w:t>
            </w:r>
            <w:proofErr w:type="gramStart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Гц</w:t>
            </w:r>
            <w:proofErr w:type="gramEnd"/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7.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Удельная длина пути утечки внешней изоляции, </w:t>
            </w:r>
            <w:proofErr w:type="gramStart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см</w:t>
            </w:r>
            <w:proofErr w:type="gramEnd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, не менее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Тангенс угла потерь при температуре 25±10</w:t>
            </w:r>
            <w:proofErr w:type="gramStart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 °С</w:t>
            </w:r>
            <w:proofErr w:type="gramEnd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 и 60±10°С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9.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Изменения емкости в диапазоне рабочих температур относительно емкости измеренной при 20</w:t>
            </w:r>
            <w:proofErr w:type="gramStart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10.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Верхнее и нижнее рабочее значение окружающего воздуха, °</w:t>
            </w:r>
            <w:proofErr w:type="gramStart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11.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Категория размещения и климатическое исполнение.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12.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Высота установки над уровнем моря, </w:t>
            </w:r>
            <w:proofErr w:type="gramStart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м</w:t>
            </w:r>
            <w:proofErr w:type="gramEnd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, не более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13.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Срок службы, лет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14.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Габаритные размеры конденсатора, основание/ высота/ диаметр, </w:t>
            </w:r>
            <w:proofErr w:type="gramStart"/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15.</w:t>
            </w:r>
          </w:p>
        </w:tc>
        <w:tc>
          <w:tcPr>
            <w:tcW w:w="4820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Вес конденсатора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16.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Экологически безопасная пропитывающая жидкость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17.</w:t>
            </w:r>
          </w:p>
        </w:tc>
        <w:tc>
          <w:tcPr>
            <w:tcW w:w="4820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Наличие маркировочной таблички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18.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 xml:space="preserve">Эксплуатационная документация: </w:t>
            </w: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lastRenderedPageBreak/>
              <w:t>Руководство по эксплуатации (на партию), паспорт (на каждый).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Испытательное напряжение грозового импульса, кВ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20.</w:t>
            </w:r>
          </w:p>
        </w:tc>
        <w:tc>
          <w:tcPr>
            <w:tcW w:w="4820" w:type="dxa"/>
            <w:vAlign w:val="bottom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Одноминутное испытательное напряжение, кВ.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21.</w:t>
            </w:r>
          </w:p>
        </w:tc>
        <w:tc>
          <w:tcPr>
            <w:tcW w:w="4820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Условия транспортирования.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22.</w:t>
            </w:r>
          </w:p>
        </w:tc>
        <w:tc>
          <w:tcPr>
            <w:tcW w:w="4820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Условия и срок хранения.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E75CA2" w:rsidTr="009B3312">
        <w:tc>
          <w:tcPr>
            <w:tcW w:w="817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ind w:left="2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23.</w:t>
            </w:r>
          </w:p>
        </w:tc>
        <w:tc>
          <w:tcPr>
            <w:tcW w:w="4820" w:type="dxa"/>
            <w:vAlign w:val="center"/>
          </w:tcPr>
          <w:p w:rsidR="009B3312" w:rsidRPr="009B3312" w:rsidRDefault="009B3312" w:rsidP="009B3312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B3312">
              <w:rPr>
                <w:rStyle w:val="2TimesNewRoman13pt0pt"/>
                <w:rFonts w:ascii="Arial" w:eastAsia="MS Reference Sans Serif" w:hAnsi="Arial" w:cs="Arial"/>
                <w:sz w:val="22"/>
                <w:szCs w:val="22"/>
              </w:rPr>
              <w:t>Гарантийный срок.</w:t>
            </w:r>
          </w:p>
        </w:tc>
        <w:tc>
          <w:tcPr>
            <w:tcW w:w="2374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9B3312" w:rsidRPr="00E75CA2" w:rsidRDefault="009B3312" w:rsidP="009B33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</w:p>
    <w:p w:rsidR="00B9676B" w:rsidRDefault="00B9676B" w:rsidP="00BF0A2E"/>
    <w:p w:rsidR="0062107C" w:rsidRPr="00BF0A2E" w:rsidRDefault="0062107C" w:rsidP="00BF0A2E"/>
    <w:p w:rsidR="00277F33" w:rsidRPr="00277F33" w:rsidRDefault="00277F33"/>
    <w:p w:rsidR="00277F33" w:rsidRPr="00B9676B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BF0A2E" w:rsidRPr="00B92729" w:rsidTr="00901951">
        <w:tc>
          <w:tcPr>
            <w:tcW w:w="2800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BF0A2E" w:rsidRPr="00E63C9B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2E" w:rsidRPr="00B92729" w:rsidTr="00901951">
        <w:tc>
          <w:tcPr>
            <w:tcW w:w="10881" w:type="dxa"/>
            <w:gridSpan w:val="4"/>
          </w:tcPr>
          <w:p w:rsidR="00BF0A2E" w:rsidRPr="00B92729" w:rsidRDefault="00BF0A2E" w:rsidP="0090195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BF0A2E" w:rsidRPr="00B92729" w:rsidTr="00901951">
              <w:tc>
                <w:tcPr>
                  <w:tcW w:w="10665" w:type="dxa"/>
                </w:tcPr>
                <w:p w:rsidR="00BF0A2E" w:rsidRPr="00B9676B" w:rsidRDefault="0062107C" w:rsidP="0090195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6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BF0A2E" w:rsidRPr="00BF0A2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7F33" w:rsidRPr="00277F33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sectPr w:rsidR="00277F33" w:rsidRPr="00277F33" w:rsidSect="00277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7F33"/>
    <w:rsid w:val="000006F5"/>
    <w:rsid w:val="0013660F"/>
    <w:rsid w:val="00157A61"/>
    <w:rsid w:val="00277F33"/>
    <w:rsid w:val="00377040"/>
    <w:rsid w:val="0062107C"/>
    <w:rsid w:val="00814691"/>
    <w:rsid w:val="009537BB"/>
    <w:rsid w:val="009B3312"/>
    <w:rsid w:val="009D4AA4"/>
    <w:rsid w:val="009D7249"/>
    <w:rsid w:val="00B9676B"/>
    <w:rsid w:val="00BF0A2E"/>
    <w:rsid w:val="00D666C8"/>
    <w:rsid w:val="00E75CA2"/>
    <w:rsid w:val="00ED2B6F"/>
    <w:rsid w:val="00F444A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m@nt-rt.ru" TargetMode="External"/><Relationship Id="rId5" Type="http://schemas.openxmlformats.org/officeDocument/2006/relationships/hyperlink" Target="mailto:uz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конденсаторы делителей напряжения ДМР. Бланк заказа на конденсаторные модули,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конденсаторы делителей напряжения ДМР. Бланк заказа на конденсаторные модули,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2017-07-07T10:05:00Z</dcterms:created>
  <dcterms:modified xsi:type="dcterms:W3CDTF">2017-07-10T09:22:00Z</dcterms:modified>
</cp:coreProperties>
</file>